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0E" w:rsidRPr="00D03E0E" w:rsidRDefault="006528F9" w:rsidP="00D03E0E">
      <w:pPr>
        <w:rPr>
          <w:rFonts w:ascii="Arial" w:hAnsi="Arial" w:cs="Arial"/>
        </w:rPr>
      </w:pPr>
      <w:bookmarkStart w:id="0" w:name="_GoBack"/>
      <w:bookmarkEnd w:id="0"/>
      <w:r w:rsidRPr="00D03E0E">
        <w:rPr>
          <w:rFonts w:ascii="Arial" w:hAnsi="Arial" w:cs="Arial"/>
        </w:rPr>
        <w:t>Childhood obesity is a serious health problem that has adverse and long-lasting consequences for individuals, families, and communities.</w:t>
      </w:r>
      <w:r w:rsidR="00183B87" w:rsidRPr="00D03E0E">
        <w:rPr>
          <w:rFonts w:ascii="Arial" w:hAnsi="Arial" w:cs="Arial"/>
        </w:rPr>
        <w:t xml:space="preserve"> The first years of life are critically important to a child’s health, well-being, and development.</w:t>
      </w:r>
      <w:r w:rsidR="00AB0C29">
        <w:rPr>
          <w:rStyle w:val="FootnoteReference"/>
          <w:rFonts w:ascii="Arial" w:hAnsi="Arial" w:cs="Arial"/>
        </w:rPr>
        <w:footnoteReference w:id="1"/>
      </w:r>
      <w:r w:rsidR="00183B87" w:rsidRPr="00D03E0E">
        <w:rPr>
          <w:rFonts w:ascii="Arial" w:hAnsi="Arial" w:cs="Arial"/>
        </w:rPr>
        <w:t xml:space="preserve"> </w:t>
      </w:r>
      <w:r w:rsidR="00441BB6" w:rsidRPr="00D03E0E">
        <w:rPr>
          <w:rFonts w:ascii="Arial" w:hAnsi="Arial" w:cs="Arial"/>
        </w:rPr>
        <w:t>Obese children are more likely to become obese adults.</w:t>
      </w:r>
      <w:r w:rsidR="00AB0C29">
        <w:rPr>
          <w:rStyle w:val="FootnoteReference"/>
          <w:rFonts w:ascii="Arial" w:hAnsi="Arial" w:cs="Arial"/>
        </w:rPr>
        <w:footnoteReference w:id="2"/>
      </w:r>
      <w:r w:rsidR="00AB0C29">
        <w:rPr>
          <w:rFonts w:ascii="Arial" w:hAnsi="Arial" w:cs="Arial"/>
        </w:rPr>
        <w:t xml:space="preserve"> </w:t>
      </w:r>
      <w:r w:rsidR="00AB0C29">
        <w:rPr>
          <w:rStyle w:val="FootnoteReference"/>
          <w:rFonts w:ascii="Arial" w:hAnsi="Arial" w:cs="Arial"/>
        </w:rPr>
        <w:footnoteReference w:id="3"/>
      </w:r>
      <w:r w:rsidR="00AB0C29">
        <w:rPr>
          <w:rFonts w:ascii="Arial" w:hAnsi="Arial" w:cs="Arial"/>
        </w:rPr>
        <w:t xml:space="preserve"> </w:t>
      </w:r>
      <w:r w:rsidR="00AB0C29">
        <w:rPr>
          <w:rStyle w:val="FootnoteReference"/>
          <w:rFonts w:ascii="Arial" w:hAnsi="Arial" w:cs="Arial"/>
        </w:rPr>
        <w:footnoteReference w:id="4"/>
      </w:r>
      <w:r w:rsidR="00AB0C29">
        <w:rPr>
          <w:rFonts w:ascii="Arial" w:hAnsi="Arial" w:cs="Arial"/>
        </w:rPr>
        <w:t xml:space="preserve"> </w:t>
      </w:r>
      <w:r w:rsidR="00441BB6" w:rsidRPr="00D03E0E">
        <w:rPr>
          <w:rFonts w:ascii="Arial" w:hAnsi="Arial" w:cs="Arial"/>
        </w:rPr>
        <w:t>Young children are consuming far more calories from sugar-sweetened beverages now than they did 30 years ago,</w:t>
      </w:r>
      <w:r w:rsidR="00AB0C29">
        <w:rPr>
          <w:rStyle w:val="FootnoteReference"/>
          <w:rFonts w:ascii="Arial" w:hAnsi="Arial" w:cs="Arial"/>
        </w:rPr>
        <w:footnoteReference w:id="5"/>
      </w:r>
      <w:r w:rsidR="00441BB6" w:rsidRPr="00D03E0E">
        <w:rPr>
          <w:rFonts w:ascii="Arial" w:hAnsi="Arial" w:cs="Arial"/>
        </w:rPr>
        <w:t xml:space="preserve"> and the consumption of these sugary drinks is strongly correlated with weight gain.</w:t>
      </w:r>
      <w:r w:rsidR="00AB0C29">
        <w:rPr>
          <w:rStyle w:val="FootnoteReference"/>
          <w:rFonts w:ascii="Arial" w:hAnsi="Arial" w:cs="Arial"/>
        </w:rPr>
        <w:footnoteReference w:id="6"/>
      </w:r>
      <w:r w:rsidR="00441BB6" w:rsidRPr="00D03E0E">
        <w:rPr>
          <w:rFonts w:ascii="Arial" w:hAnsi="Arial" w:cs="Arial"/>
        </w:rPr>
        <w:t xml:space="preserve">  </w:t>
      </w:r>
      <w:r w:rsidR="00D03E0E" w:rsidRPr="00D03E0E">
        <w:rPr>
          <w:rFonts w:ascii="Arial" w:hAnsi="Arial" w:cs="Arial"/>
        </w:rPr>
        <w:t xml:space="preserve">In 2012, </w:t>
      </w:r>
      <w:r w:rsidR="007F3DF9">
        <w:rPr>
          <w:rFonts w:ascii="Arial" w:hAnsi="Arial" w:cs="Arial"/>
        </w:rPr>
        <w:t xml:space="preserve">California Project LEAN, a program of </w:t>
      </w:r>
      <w:r w:rsidR="00D03E0E" w:rsidRPr="00D03E0E">
        <w:rPr>
          <w:rFonts w:ascii="Arial" w:hAnsi="Arial" w:cs="Arial"/>
        </w:rPr>
        <w:t>the Public Health Institute convened nutrition experts to review existing beverage standards in order to inform the development of its food</w:t>
      </w:r>
      <w:r w:rsidR="00D03E0E">
        <w:rPr>
          <w:rFonts w:ascii="Arial" w:hAnsi="Arial" w:cs="Arial"/>
        </w:rPr>
        <w:t xml:space="preserve"> (i.e., breast milk)</w:t>
      </w:r>
      <w:r w:rsidR="00D03E0E" w:rsidRPr="00D03E0E">
        <w:rPr>
          <w:rFonts w:ascii="Arial" w:hAnsi="Arial" w:cs="Arial"/>
        </w:rPr>
        <w:t xml:space="preserve"> and beverage standards</w:t>
      </w:r>
      <w:r w:rsidR="00CD457E">
        <w:rPr>
          <w:rFonts w:ascii="Arial" w:hAnsi="Arial" w:cs="Arial"/>
        </w:rPr>
        <w:t xml:space="preserve"> for children 0 to 5 years of age</w:t>
      </w:r>
      <w:r w:rsidR="00D03E0E" w:rsidRPr="00D03E0E">
        <w:rPr>
          <w:rFonts w:ascii="Arial" w:hAnsi="Arial" w:cs="Arial"/>
        </w:rPr>
        <w:t xml:space="preserve">.  </w:t>
      </w:r>
    </w:p>
    <w:p w:rsidR="00D22AEB" w:rsidRPr="00D82D22" w:rsidRDefault="000545CF" w:rsidP="00D22AEB">
      <w:pPr>
        <w:rPr>
          <w:rFonts w:ascii="Arial" w:hAnsi="Arial" w:cs="Arial"/>
        </w:rPr>
      </w:pPr>
      <w:r w:rsidRPr="00D82D22">
        <w:rPr>
          <w:rFonts w:ascii="Arial" w:hAnsi="Arial" w:cs="Arial"/>
        </w:rPr>
        <w:t xml:space="preserve"> </w:t>
      </w:r>
    </w:p>
    <w:p w:rsidR="008543E2" w:rsidRPr="008543E2" w:rsidRDefault="008543E2" w:rsidP="008543E2">
      <w:pPr>
        <w:rPr>
          <w:rFonts w:ascii="Arial" w:hAnsi="Arial" w:cs="Arial"/>
        </w:rPr>
      </w:pPr>
      <w:r w:rsidRPr="008543E2">
        <w:rPr>
          <w:rFonts w:ascii="Arial" w:hAnsi="Arial" w:cs="Arial"/>
          <w:b/>
        </w:rPr>
        <w:t xml:space="preserve">Below are the required beverage standards for </w:t>
      </w:r>
      <w:r w:rsidRPr="008543E2">
        <w:rPr>
          <w:rFonts w:ascii="Arial" w:hAnsi="Arial" w:cs="Arial"/>
          <w:highlight w:val="yellow"/>
        </w:rPr>
        <w:t>(Name of agency)</w:t>
      </w:r>
      <w:r w:rsidRPr="008543E2">
        <w:rPr>
          <w:rFonts w:ascii="Arial" w:hAnsi="Arial" w:cs="Arial"/>
          <w:b/>
        </w:rPr>
        <w:t xml:space="preserve">, to be implemented on or before </w:t>
      </w:r>
      <w:r w:rsidRPr="008543E2">
        <w:rPr>
          <w:rFonts w:ascii="Arial" w:hAnsi="Arial" w:cs="Arial"/>
          <w:b/>
          <w:highlight w:val="yellow"/>
        </w:rPr>
        <w:t>[Date]</w:t>
      </w:r>
      <w:r w:rsidRPr="008543E2">
        <w:rPr>
          <w:rFonts w:ascii="Arial" w:hAnsi="Arial" w:cs="Arial"/>
          <w:b/>
        </w:rPr>
        <w:t>, 201</w:t>
      </w:r>
      <w:r w:rsidRPr="008543E2">
        <w:rPr>
          <w:rFonts w:ascii="Arial" w:hAnsi="Arial" w:cs="Arial"/>
          <w:b/>
          <w:highlight w:val="yellow"/>
        </w:rPr>
        <w:t>X</w:t>
      </w:r>
      <w:r w:rsidRPr="008543E2">
        <w:rPr>
          <w:rFonts w:ascii="Arial" w:hAnsi="Arial" w:cs="Arial"/>
          <w:b/>
        </w:rPr>
        <w:t>.</w:t>
      </w:r>
    </w:p>
    <w:p w:rsidR="008543E2" w:rsidRPr="008543E2" w:rsidRDefault="008543E2" w:rsidP="008543E2">
      <w:pPr>
        <w:rPr>
          <w:rFonts w:ascii="Arial" w:hAnsi="Arial" w:cs="Arial"/>
        </w:rPr>
      </w:pPr>
    </w:p>
    <w:p w:rsidR="00D22AEB" w:rsidRPr="00D82D22" w:rsidRDefault="008543E2" w:rsidP="008543E2">
      <w:pPr>
        <w:rPr>
          <w:rFonts w:ascii="Arial" w:eastAsiaTheme="minorHAnsi" w:hAnsi="Arial" w:cs="Arial"/>
        </w:rPr>
      </w:pP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leadership</w:t>
      </w:r>
      <w:r w:rsidRPr="00D82D22">
        <w:rPr>
          <w:rFonts w:ascii="Arial" w:eastAsiaTheme="minorHAnsi" w:hAnsi="Arial" w:cs="Arial"/>
        </w:rPr>
        <w:t xml:space="preserve"> shall make the ultimate decision as to whether products to be </w:t>
      </w:r>
      <w:r w:rsidRPr="00D82D22">
        <w:rPr>
          <w:rFonts w:ascii="Arial" w:hAnsi="Arial" w:cs="Arial"/>
        </w:rPr>
        <w:t>offered and/or sold</w:t>
      </w:r>
      <w:r w:rsidRPr="00D82D22">
        <w:rPr>
          <w:rFonts w:ascii="Arial" w:eastAsiaTheme="minorHAnsi" w:hAnsi="Arial" w:cs="Arial"/>
        </w:rPr>
        <w:t xml:space="preserve"> are consistent with the standards listed below</w:t>
      </w:r>
      <w:r w:rsidR="0018337F">
        <w:rPr>
          <w:rFonts w:ascii="Arial" w:eastAsiaTheme="minorHAnsi" w:hAnsi="Arial" w:cs="Arial"/>
        </w:rPr>
        <w:t>.</w:t>
      </w:r>
    </w:p>
    <w:p w:rsidR="008543E2" w:rsidRPr="00D82D22" w:rsidRDefault="008543E2" w:rsidP="008543E2">
      <w:pPr>
        <w:rPr>
          <w:rFonts w:ascii="Arial" w:hAnsi="Arial" w:cs="Arial"/>
          <w:b/>
          <w:i/>
        </w:rPr>
      </w:pPr>
    </w:p>
    <w:p w:rsidR="000545CF" w:rsidRPr="00D82D22" w:rsidRDefault="000545CF" w:rsidP="000113A2">
      <w:pPr>
        <w:rPr>
          <w:rFonts w:ascii="Arial" w:hAnsi="Arial" w:cs="Arial"/>
          <w:b/>
          <w:i/>
        </w:rPr>
      </w:pPr>
      <w:r w:rsidRPr="00D82D22">
        <w:rPr>
          <w:rFonts w:ascii="Arial" w:hAnsi="Arial" w:cs="Arial"/>
          <w:b/>
          <w:i/>
        </w:rPr>
        <w:t>Access to free, safe drinking water</w:t>
      </w:r>
    </w:p>
    <w:p w:rsidR="00062933" w:rsidRPr="00062933" w:rsidRDefault="00062933" w:rsidP="00062933">
      <w:pPr>
        <w:rPr>
          <w:rFonts w:ascii="Arial" w:hAnsi="Arial" w:cs="Arial"/>
          <w:szCs w:val="22"/>
        </w:rPr>
      </w:pPr>
      <w:r w:rsidRPr="00062933">
        <w:rPr>
          <w:rFonts w:ascii="Arial" w:hAnsi="Arial" w:cs="Arial"/>
          <w:szCs w:val="22"/>
        </w:rPr>
        <w:t>Require that there is access to free, safe drinking water wherever beverages are offered and/or sold. It is recommended that safe tap water, rather than individual bottles of water, be offered. If safe tap water is not available, then it is recommended that large bottles and/or jugs of water are utilized.</w:t>
      </w:r>
    </w:p>
    <w:p w:rsidR="00474CAB" w:rsidRPr="00D82D22" w:rsidRDefault="00474CAB" w:rsidP="000113A2">
      <w:pPr>
        <w:rPr>
          <w:rFonts w:ascii="Arial" w:hAnsi="Arial" w:cs="Arial"/>
        </w:rPr>
      </w:pPr>
    </w:p>
    <w:p w:rsidR="00474CAB" w:rsidRPr="00D82D22" w:rsidRDefault="00474CAB" w:rsidP="000113A2">
      <w:pPr>
        <w:rPr>
          <w:rFonts w:ascii="Arial" w:hAnsi="Arial" w:cs="Arial"/>
          <w:b/>
          <w:i/>
        </w:rPr>
      </w:pPr>
      <w:r w:rsidRPr="00D82D22">
        <w:rPr>
          <w:rFonts w:ascii="Arial" w:hAnsi="Arial" w:cs="Arial"/>
          <w:b/>
          <w:i/>
        </w:rPr>
        <w:t>Beverage/Food Standards</w:t>
      </w:r>
    </w:p>
    <w:p w:rsidR="00474CAB" w:rsidRPr="00D82D22" w:rsidRDefault="00474CAB" w:rsidP="000113A2">
      <w:pPr>
        <w:rPr>
          <w:rFonts w:ascii="Arial" w:hAnsi="Arial" w:cs="Arial"/>
        </w:rPr>
      </w:pPr>
      <w:r w:rsidRPr="00D82D22">
        <w:rPr>
          <w:rFonts w:ascii="Arial" w:hAnsi="Arial" w:cs="Arial"/>
        </w:rPr>
        <w:t>All beverages and food</w:t>
      </w:r>
      <w:r w:rsidR="009F23DD">
        <w:rPr>
          <w:rFonts w:ascii="Arial" w:hAnsi="Arial" w:cs="Arial"/>
        </w:rPr>
        <w:t xml:space="preserve"> (i.e., breast milk)</w:t>
      </w:r>
      <w:r w:rsidRPr="00D82D22">
        <w:rPr>
          <w:rFonts w:ascii="Arial" w:hAnsi="Arial" w:cs="Arial"/>
        </w:rPr>
        <w:t xml:space="preserve"> served to children 0-5 years of age in all of (</w:t>
      </w:r>
      <w:r w:rsidRPr="00D82D22">
        <w:rPr>
          <w:rFonts w:ascii="Arial" w:hAnsi="Arial" w:cs="Arial"/>
          <w:highlight w:val="yellow"/>
        </w:rPr>
        <w:t>Name of</w:t>
      </w:r>
      <w:r w:rsidRPr="00D82D22">
        <w:rPr>
          <w:rFonts w:ascii="Arial" w:hAnsi="Arial" w:cs="Arial"/>
        </w:rPr>
        <w:t xml:space="preserve"> </w:t>
      </w:r>
      <w:r w:rsidRPr="00D82D22">
        <w:rPr>
          <w:rFonts w:ascii="Arial" w:hAnsi="Arial" w:cs="Arial"/>
          <w:highlight w:val="yellow"/>
        </w:rPr>
        <w:t>agenc</w:t>
      </w:r>
      <w:r w:rsidR="00244D7E" w:rsidRPr="00D82D22">
        <w:rPr>
          <w:rFonts w:ascii="Arial" w:hAnsi="Arial" w:cs="Arial"/>
          <w:highlight w:val="yellow"/>
        </w:rPr>
        <w:t>y</w:t>
      </w:r>
      <w:r w:rsidRPr="00D82D22">
        <w:rPr>
          <w:rFonts w:ascii="Arial" w:hAnsi="Arial" w:cs="Arial"/>
        </w:rPr>
        <w:t xml:space="preserve">) </w:t>
      </w:r>
      <w:r w:rsidR="00244D7E" w:rsidRPr="00D82D22">
        <w:rPr>
          <w:rFonts w:ascii="Arial" w:hAnsi="Arial" w:cs="Arial"/>
        </w:rPr>
        <w:t>facilities</w:t>
      </w:r>
      <w:r w:rsidRPr="00D82D22">
        <w:rPr>
          <w:rFonts w:ascii="Arial" w:hAnsi="Arial" w:cs="Arial"/>
        </w:rPr>
        <w:t xml:space="preserve"> can only include:</w:t>
      </w:r>
    </w:p>
    <w:p w:rsidR="00474CAB" w:rsidRPr="00D82D22" w:rsidRDefault="00474CAB" w:rsidP="000113A2">
      <w:pPr>
        <w:rPr>
          <w:rFonts w:ascii="Arial" w:hAnsi="Arial" w:cs="Arial"/>
        </w:rPr>
      </w:pPr>
    </w:p>
    <w:p w:rsidR="00A811DB" w:rsidRPr="00D82D22" w:rsidRDefault="00A811DB" w:rsidP="000113A2">
      <w:pPr>
        <w:rPr>
          <w:rFonts w:ascii="Arial" w:hAnsi="Arial" w:cs="Arial"/>
          <w:b/>
        </w:rPr>
      </w:pPr>
      <w:r w:rsidRPr="00D82D22">
        <w:rPr>
          <w:rFonts w:ascii="Arial" w:hAnsi="Arial" w:cs="Arial"/>
          <w:b/>
        </w:rPr>
        <w:t>0-</w:t>
      </w:r>
      <w:r w:rsidR="000147E6" w:rsidRPr="00D82D22">
        <w:rPr>
          <w:rFonts w:ascii="Arial" w:hAnsi="Arial" w:cs="Arial"/>
          <w:b/>
        </w:rPr>
        <w:t>12</w:t>
      </w:r>
      <w:r w:rsidRPr="00D82D22">
        <w:rPr>
          <w:rFonts w:ascii="Arial" w:hAnsi="Arial" w:cs="Arial"/>
          <w:b/>
        </w:rPr>
        <w:t xml:space="preserve"> Months:</w:t>
      </w:r>
    </w:p>
    <w:p w:rsidR="00607857" w:rsidRPr="00D82D22" w:rsidRDefault="00A811DB" w:rsidP="00A811D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D82D22">
        <w:rPr>
          <w:rFonts w:ascii="Arial" w:hAnsi="Arial" w:cs="Arial"/>
        </w:rPr>
        <w:t>Breast milk</w:t>
      </w:r>
      <w:r w:rsidR="00607857" w:rsidRPr="00D82D22">
        <w:rPr>
          <w:rFonts w:ascii="Arial" w:hAnsi="Arial" w:cs="Arial"/>
        </w:rPr>
        <w:t xml:space="preserve"> (best option)</w:t>
      </w:r>
    </w:p>
    <w:p w:rsidR="00A811DB" w:rsidRPr="00D82D22" w:rsidRDefault="00607857" w:rsidP="00A811D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D82D22">
        <w:rPr>
          <w:rFonts w:ascii="Arial" w:hAnsi="Arial" w:cs="Arial"/>
        </w:rPr>
        <w:t>B</w:t>
      </w:r>
      <w:r w:rsidR="00A811DB" w:rsidRPr="00D82D22">
        <w:rPr>
          <w:rFonts w:ascii="Arial" w:hAnsi="Arial" w:cs="Arial"/>
        </w:rPr>
        <w:t>aby formula with iron</w:t>
      </w:r>
    </w:p>
    <w:p w:rsidR="00A811DB" w:rsidRPr="00D82D22" w:rsidRDefault="00A811DB" w:rsidP="00A811DB">
      <w:pPr>
        <w:rPr>
          <w:rFonts w:ascii="Arial" w:hAnsi="Arial" w:cs="Arial"/>
          <w:b/>
        </w:rPr>
      </w:pPr>
    </w:p>
    <w:p w:rsidR="00A811DB" w:rsidRPr="00D82D22" w:rsidRDefault="00441BB6" w:rsidP="000113A2">
      <w:pPr>
        <w:rPr>
          <w:rFonts w:ascii="Arial" w:hAnsi="Arial" w:cs="Arial"/>
          <w:b/>
        </w:rPr>
      </w:pPr>
      <w:r w:rsidRPr="00D82D22">
        <w:rPr>
          <w:rFonts w:ascii="Arial" w:hAnsi="Arial" w:cs="Arial"/>
          <w:b/>
        </w:rPr>
        <w:t>12-23 Months:</w:t>
      </w:r>
    </w:p>
    <w:p w:rsidR="004B79D0" w:rsidRPr="00D82D22" w:rsidRDefault="004B79D0" w:rsidP="004B79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2D22">
        <w:rPr>
          <w:rFonts w:ascii="Arial" w:hAnsi="Arial" w:cs="Arial"/>
        </w:rPr>
        <w:t>Unflavored</w:t>
      </w:r>
      <w:r w:rsidR="00A812AE" w:rsidRPr="00D82D22">
        <w:rPr>
          <w:rFonts w:ascii="Arial" w:hAnsi="Arial" w:cs="Arial"/>
        </w:rPr>
        <w:t>*</w:t>
      </w:r>
      <w:r w:rsidRPr="00D82D22">
        <w:rPr>
          <w:rFonts w:ascii="Arial" w:hAnsi="Arial" w:cs="Arial"/>
        </w:rPr>
        <w:t xml:space="preserve"> whole </w:t>
      </w:r>
      <w:r w:rsidR="0014567F" w:rsidRPr="00D82D22">
        <w:rPr>
          <w:rFonts w:ascii="Arial" w:hAnsi="Arial" w:cs="Arial"/>
        </w:rPr>
        <w:t xml:space="preserve">cow’s </w:t>
      </w:r>
      <w:r w:rsidRPr="00D82D22">
        <w:rPr>
          <w:rFonts w:ascii="Arial" w:hAnsi="Arial" w:cs="Arial"/>
        </w:rPr>
        <w:t xml:space="preserve">milk </w:t>
      </w:r>
      <w:r w:rsidR="00A92887">
        <w:rPr>
          <w:rFonts w:ascii="Arial" w:hAnsi="Arial" w:cs="Arial"/>
        </w:rPr>
        <w:t xml:space="preserve">with </w:t>
      </w:r>
      <w:r w:rsidRPr="00D82D22">
        <w:rPr>
          <w:rFonts w:ascii="Arial" w:hAnsi="Arial" w:cs="Arial"/>
        </w:rPr>
        <w:t>no added sweeteners</w:t>
      </w:r>
    </w:p>
    <w:p w:rsidR="00607857" w:rsidRPr="00D82D22" w:rsidRDefault="00441BB6" w:rsidP="000113A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82D22">
        <w:rPr>
          <w:rFonts w:ascii="Arial" w:hAnsi="Arial" w:cs="Arial"/>
        </w:rPr>
        <w:t>Water with no additives, including vitamins, minerals (e.g.</w:t>
      </w:r>
      <w:r w:rsidR="00E56064">
        <w:rPr>
          <w:rFonts w:ascii="Arial" w:hAnsi="Arial" w:cs="Arial"/>
        </w:rPr>
        <w:t>,</w:t>
      </w:r>
      <w:r w:rsidR="00EF69F7" w:rsidRPr="00D82D22">
        <w:rPr>
          <w:rFonts w:ascii="Arial" w:hAnsi="Arial" w:cs="Arial"/>
        </w:rPr>
        <w:t xml:space="preserve"> electrolytes), stimulants </w:t>
      </w:r>
      <w:r w:rsidR="00EC177F">
        <w:rPr>
          <w:rFonts w:ascii="Arial" w:hAnsi="Arial" w:cs="Arial"/>
        </w:rPr>
        <w:t>(e.g., caffeine) and sweeteners</w:t>
      </w:r>
    </w:p>
    <w:p w:rsidR="004B79D0" w:rsidRPr="00D82D22" w:rsidRDefault="004B79D0" w:rsidP="000113A2">
      <w:pPr>
        <w:rPr>
          <w:rFonts w:ascii="Arial" w:hAnsi="Arial" w:cs="Arial"/>
        </w:rPr>
      </w:pPr>
    </w:p>
    <w:p w:rsidR="00CA7FE8" w:rsidRPr="00D82D22" w:rsidRDefault="004B79D0" w:rsidP="000113A2">
      <w:pPr>
        <w:rPr>
          <w:rFonts w:ascii="Arial" w:hAnsi="Arial" w:cs="Arial"/>
          <w:b/>
        </w:rPr>
      </w:pPr>
      <w:r w:rsidRPr="00D82D22">
        <w:rPr>
          <w:rFonts w:ascii="Arial" w:hAnsi="Arial" w:cs="Arial"/>
          <w:b/>
        </w:rPr>
        <w:t>2-</w:t>
      </w:r>
      <w:r w:rsidR="00A812AE" w:rsidRPr="00D82D22">
        <w:rPr>
          <w:rFonts w:ascii="Arial" w:hAnsi="Arial" w:cs="Arial"/>
          <w:b/>
        </w:rPr>
        <w:t>5</w:t>
      </w:r>
      <w:r w:rsidRPr="00D82D22">
        <w:rPr>
          <w:rFonts w:ascii="Arial" w:hAnsi="Arial" w:cs="Arial"/>
          <w:b/>
        </w:rPr>
        <w:t xml:space="preserve"> years of age:</w:t>
      </w:r>
    </w:p>
    <w:p w:rsidR="004B79D0" w:rsidRPr="00D82D22" w:rsidRDefault="004B79D0" w:rsidP="004B79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82D22">
        <w:rPr>
          <w:rFonts w:ascii="Arial" w:hAnsi="Arial" w:cs="Arial"/>
        </w:rPr>
        <w:lastRenderedPageBreak/>
        <w:t>Unflavored</w:t>
      </w:r>
      <w:r w:rsidR="00A812AE" w:rsidRPr="00D82D22">
        <w:rPr>
          <w:rFonts w:ascii="Arial" w:hAnsi="Arial" w:cs="Arial"/>
        </w:rPr>
        <w:t>*</w:t>
      </w:r>
      <w:r w:rsidRPr="00D82D22">
        <w:rPr>
          <w:rFonts w:ascii="Arial" w:hAnsi="Arial" w:cs="Arial"/>
        </w:rPr>
        <w:t xml:space="preserve"> non-fat or 1% cow’s milk with no added sweeteners</w:t>
      </w:r>
    </w:p>
    <w:p w:rsidR="004B79D0" w:rsidRPr="00D82D22" w:rsidRDefault="004B79D0" w:rsidP="004B79D0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82D22">
        <w:rPr>
          <w:rFonts w:ascii="Arial" w:hAnsi="Arial" w:cs="Arial"/>
        </w:rPr>
        <w:t>Water with no additives, including vitamins, minerals (e.g.</w:t>
      </w:r>
      <w:r w:rsidR="00E56064">
        <w:rPr>
          <w:rFonts w:ascii="Arial" w:hAnsi="Arial" w:cs="Arial"/>
        </w:rPr>
        <w:t>,</w:t>
      </w:r>
      <w:r w:rsidRPr="00D82D22">
        <w:rPr>
          <w:rFonts w:ascii="Arial" w:hAnsi="Arial" w:cs="Arial"/>
        </w:rPr>
        <w:t xml:space="preserve"> electrolytes), stimulants (e.g., caffeine) and sweeteners.  </w:t>
      </w:r>
    </w:p>
    <w:p w:rsidR="0014567F" w:rsidRPr="00D82D22" w:rsidRDefault="0014567F" w:rsidP="00607857">
      <w:pPr>
        <w:rPr>
          <w:rFonts w:ascii="Arial" w:hAnsi="Arial" w:cs="Arial"/>
        </w:rPr>
      </w:pPr>
    </w:p>
    <w:p w:rsidR="001C69BF" w:rsidRPr="00C41FFC" w:rsidRDefault="001C69BF" w:rsidP="001C69BF">
      <w:pPr>
        <w:rPr>
          <w:rFonts w:ascii="Arial" w:hAnsi="Arial" w:cs="Arial"/>
          <w:sz w:val="22"/>
          <w:szCs w:val="22"/>
        </w:rPr>
      </w:pPr>
      <w:r w:rsidRPr="00C41FFC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Un</w:t>
      </w:r>
      <w:r w:rsidRPr="00C41FFC">
        <w:rPr>
          <w:rFonts w:ascii="Arial" w:hAnsi="Arial" w:cs="Arial"/>
          <w:sz w:val="22"/>
          <w:szCs w:val="22"/>
        </w:rPr>
        <w:t xml:space="preserve">flavored milk </w:t>
      </w:r>
      <w:r>
        <w:rPr>
          <w:rFonts w:ascii="Arial" w:hAnsi="Arial" w:cs="Arial"/>
          <w:sz w:val="22"/>
          <w:szCs w:val="22"/>
        </w:rPr>
        <w:t>me</w:t>
      </w:r>
      <w:r w:rsidRPr="00C41FFC">
        <w:rPr>
          <w:rFonts w:ascii="Arial" w:hAnsi="Arial" w:cs="Arial"/>
          <w:sz w:val="22"/>
          <w:szCs w:val="22"/>
        </w:rPr>
        <w:t>an</w:t>
      </w:r>
      <w:r>
        <w:rPr>
          <w:rFonts w:ascii="Arial" w:hAnsi="Arial" w:cs="Arial"/>
          <w:sz w:val="22"/>
          <w:szCs w:val="22"/>
        </w:rPr>
        <w:t>s there can be no chocolate, strawberry,</w:t>
      </w:r>
      <w:r w:rsidRPr="00C41FFC">
        <w:rPr>
          <w:rFonts w:ascii="Arial" w:hAnsi="Arial" w:cs="Arial"/>
          <w:sz w:val="22"/>
          <w:szCs w:val="22"/>
        </w:rPr>
        <w:t xml:space="preserve"> vanilla</w:t>
      </w:r>
      <w:r>
        <w:rPr>
          <w:rFonts w:ascii="Arial" w:hAnsi="Arial" w:cs="Arial"/>
          <w:sz w:val="22"/>
          <w:szCs w:val="22"/>
        </w:rPr>
        <w:t xml:space="preserve"> or other flavored milk and non-dairy milk alternatives offered or sold.</w:t>
      </w:r>
    </w:p>
    <w:p w:rsidR="000447F4" w:rsidRDefault="000447F4" w:rsidP="00D22AEB">
      <w:pPr>
        <w:rPr>
          <w:rFonts w:ascii="Arial" w:hAnsi="Arial" w:cs="Arial"/>
          <w:b/>
          <w:i/>
        </w:rPr>
      </w:pPr>
    </w:p>
    <w:p w:rsidR="00D22AEB" w:rsidRPr="00D82D22" w:rsidRDefault="00D22AEB" w:rsidP="00D22AEB">
      <w:pPr>
        <w:rPr>
          <w:rFonts w:ascii="Arial" w:hAnsi="Arial" w:cs="Arial"/>
          <w:b/>
          <w:i/>
        </w:rPr>
      </w:pPr>
      <w:r w:rsidRPr="00D82D22">
        <w:rPr>
          <w:rFonts w:ascii="Arial" w:hAnsi="Arial" w:cs="Arial"/>
          <w:b/>
          <w:i/>
        </w:rPr>
        <w:t>Effective Times of the Standards</w:t>
      </w:r>
    </w:p>
    <w:p w:rsidR="00D22AEB" w:rsidRPr="00D82D22" w:rsidRDefault="007B38D8" w:rsidP="00D22AEB">
      <w:pPr>
        <w:rPr>
          <w:rFonts w:ascii="Arial" w:hAnsi="Arial" w:cs="Arial"/>
        </w:rPr>
      </w:pPr>
      <w:r w:rsidRPr="00D82D22">
        <w:rPr>
          <w:rFonts w:ascii="Arial" w:hAnsi="Arial" w:cs="Arial"/>
        </w:rPr>
        <w:t xml:space="preserve">The </w:t>
      </w:r>
      <w:r w:rsidR="00D22AEB" w:rsidRPr="00D82D22">
        <w:rPr>
          <w:rFonts w:ascii="Arial" w:hAnsi="Arial" w:cs="Arial"/>
        </w:rPr>
        <w:t xml:space="preserve">beverage standards </w:t>
      </w:r>
      <w:r w:rsidRPr="00D82D22">
        <w:rPr>
          <w:rFonts w:ascii="Arial" w:hAnsi="Arial" w:cs="Arial"/>
        </w:rPr>
        <w:t xml:space="preserve">above </w:t>
      </w:r>
      <w:r w:rsidR="00D22AEB" w:rsidRPr="00D82D22">
        <w:rPr>
          <w:rFonts w:ascii="Arial" w:hAnsi="Arial" w:cs="Arial"/>
        </w:rPr>
        <w:t xml:space="preserve">are in effect 24-hours a day, year-round. </w:t>
      </w:r>
    </w:p>
    <w:p w:rsidR="00D22AEB" w:rsidRPr="00D82D22" w:rsidRDefault="00D22AEB" w:rsidP="00D22AEB">
      <w:pPr>
        <w:rPr>
          <w:rFonts w:ascii="Arial" w:hAnsi="Arial" w:cs="Arial"/>
          <w:b/>
          <w:i/>
        </w:rPr>
      </w:pPr>
    </w:p>
    <w:p w:rsidR="00D22AEB" w:rsidRPr="00D82D22" w:rsidRDefault="00D22AEB" w:rsidP="00D22AEB">
      <w:pPr>
        <w:rPr>
          <w:rFonts w:ascii="Arial" w:hAnsi="Arial" w:cs="Arial"/>
          <w:b/>
          <w:i/>
        </w:rPr>
      </w:pPr>
      <w:r w:rsidRPr="00D82D22">
        <w:rPr>
          <w:rFonts w:ascii="Arial" w:hAnsi="Arial" w:cs="Arial"/>
          <w:b/>
          <w:i/>
        </w:rPr>
        <w:t>Current and Future Contracts</w:t>
      </w:r>
    </w:p>
    <w:p w:rsidR="00D22AEB" w:rsidRPr="00D82D22" w:rsidRDefault="00D22AEB" w:rsidP="00D22AEB">
      <w:pPr>
        <w:rPr>
          <w:rFonts w:ascii="Arial" w:hAnsi="Arial" w:cs="Arial"/>
        </w:rPr>
      </w:pPr>
      <w:r w:rsidRPr="00D82D22">
        <w:rPr>
          <w:rFonts w:ascii="Arial" w:hAnsi="Arial" w:cs="Arial"/>
        </w:rPr>
        <w:t xml:space="preserve">Future procurement and/or contracts shall include a provision stipulating that all beverages to be purchased or provided will meet the </w:t>
      </w: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</w:t>
      </w:r>
      <w:r w:rsidR="00AD72DE" w:rsidRPr="00D82D22">
        <w:rPr>
          <w:rFonts w:ascii="Arial" w:hAnsi="Arial" w:cs="Arial"/>
        </w:rPr>
        <w:t>b</w:t>
      </w:r>
      <w:r w:rsidRPr="00D82D22">
        <w:rPr>
          <w:rFonts w:ascii="Arial" w:hAnsi="Arial" w:cs="Arial"/>
        </w:rPr>
        <w:t xml:space="preserve">everage </w:t>
      </w:r>
      <w:r w:rsidR="00AD72DE" w:rsidRPr="00D82D22">
        <w:rPr>
          <w:rFonts w:ascii="Arial" w:hAnsi="Arial" w:cs="Arial"/>
        </w:rPr>
        <w:t>s</w:t>
      </w:r>
      <w:r w:rsidRPr="00D82D22">
        <w:rPr>
          <w:rFonts w:ascii="Arial" w:hAnsi="Arial" w:cs="Arial"/>
        </w:rPr>
        <w:t xml:space="preserve">tandards outlined above. Current vendors will be contacted immediately to request transition to the aforementioned beverage standards. </w:t>
      </w:r>
    </w:p>
    <w:p w:rsidR="00D22AEB" w:rsidRPr="00D82D22" w:rsidRDefault="00D22AEB" w:rsidP="00D22AEB">
      <w:pPr>
        <w:rPr>
          <w:rFonts w:ascii="Arial" w:hAnsi="Arial" w:cs="Arial"/>
          <w:b/>
          <w:i/>
        </w:rPr>
      </w:pPr>
    </w:p>
    <w:p w:rsidR="00D22AEB" w:rsidRPr="00D82D22" w:rsidRDefault="00D22AEB" w:rsidP="00D22AEB">
      <w:pPr>
        <w:rPr>
          <w:rFonts w:ascii="Arial" w:hAnsi="Arial" w:cs="Arial"/>
          <w:b/>
          <w:i/>
        </w:rPr>
      </w:pPr>
      <w:r w:rsidRPr="00D82D22">
        <w:rPr>
          <w:rFonts w:ascii="Arial" w:hAnsi="Arial" w:cs="Arial"/>
          <w:b/>
          <w:i/>
        </w:rPr>
        <w:t>Implementation, Monitoring, and Enforcement</w:t>
      </w:r>
    </w:p>
    <w:p w:rsidR="00D22AEB" w:rsidRPr="00D82D22" w:rsidRDefault="00D22AEB" w:rsidP="00D22AEB">
      <w:pPr>
        <w:rPr>
          <w:rFonts w:ascii="Arial" w:hAnsi="Arial" w:cs="Arial"/>
        </w:rPr>
      </w:pPr>
      <w:r w:rsidRPr="00D82D22">
        <w:rPr>
          <w:rFonts w:ascii="Arial" w:hAnsi="Arial" w:cs="Arial"/>
        </w:rPr>
        <w:t xml:space="preserve">To assist in the implementation, monitoring, and enforcement of the beverage standards, </w:t>
      </w: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leadership will designate an appropriate position within </w:t>
      </w: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to disseminate information and train </w:t>
      </w: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staff on the beverage standards to ensure compliance.  </w:t>
      </w:r>
    </w:p>
    <w:p w:rsidR="00D22AEB" w:rsidRPr="00D82D22" w:rsidRDefault="00D22AEB" w:rsidP="00D22AEB">
      <w:pPr>
        <w:rPr>
          <w:rFonts w:ascii="Arial" w:hAnsi="Arial" w:cs="Arial"/>
        </w:rPr>
      </w:pPr>
    </w:p>
    <w:p w:rsidR="00686BD0" w:rsidRPr="00686BD0" w:rsidRDefault="00686BD0" w:rsidP="00686BD0">
      <w:pPr>
        <w:rPr>
          <w:rFonts w:ascii="Arial" w:hAnsi="Arial" w:cs="Arial"/>
        </w:rPr>
      </w:pPr>
      <w:r w:rsidRPr="00686BD0">
        <w:rPr>
          <w:rFonts w:ascii="Arial" w:hAnsi="Arial" w:cs="Arial"/>
        </w:rPr>
        <w:t xml:space="preserve">The designated position shall monitor compliance and address noncompliance, which may be discovered through inspections or other reports. Any vendor who </w:t>
      </w:r>
      <w:r w:rsidRPr="00686BD0">
        <w:rPr>
          <w:rFonts w:ascii="Arial" w:hAnsi="Arial" w:cs="Arial"/>
          <w:highlight w:val="yellow"/>
        </w:rPr>
        <w:t>(Name of agency)</w:t>
      </w:r>
      <w:r w:rsidRPr="00686BD0">
        <w:rPr>
          <w:rFonts w:ascii="Arial" w:hAnsi="Arial" w:cs="Arial"/>
        </w:rPr>
        <w:t xml:space="preserve"> finds has failed to comply with the beverage standards shall be subject to a penalty to be assessed as follows:</w:t>
      </w:r>
    </w:p>
    <w:p w:rsidR="00686BD0" w:rsidRPr="00686BD0" w:rsidRDefault="00686BD0" w:rsidP="00686BD0">
      <w:pPr>
        <w:numPr>
          <w:ilvl w:val="0"/>
          <w:numId w:val="7"/>
        </w:numPr>
        <w:spacing w:after="200"/>
        <w:rPr>
          <w:rFonts w:ascii="Arial" w:hAnsi="Arial" w:cs="Arial"/>
        </w:rPr>
      </w:pPr>
      <w:r w:rsidRPr="00686BD0">
        <w:rPr>
          <w:rFonts w:ascii="Arial" w:hAnsi="Arial" w:cs="Arial"/>
        </w:rPr>
        <w:t>The first violation shall result in a fine paid by the vending machine operator of no less than $100;</w:t>
      </w:r>
    </w:p>
    <w:p w:rsidR="00686BD0" w:rsidRPr="00686BD0" w:rsidRDefault="00686BD0" w:rsidP="00686BD0">
      <w:pPr>
        <w:numPr>
          <w:ilvl w:val="0"/>
          <w:numId w:val="7"/>
        </w:numPr>
        <w:spacing w:after="200"/>
        <w:rPr>
          <w:rFonts w:ascii="Arial" w:hAnsi="Arial" w:cs="Arial"/>
        </w:rPr>
      </w:pPr>
      <w:r w:rsidRPr="00686BD0">
        <w:rPr>
          <w:rFonts w:ascii="Arial" w:hAnsi="Arial" w:cs="Arial"/>
        </w:rPr>
        <w:t>Subsequent violations shall result in a fine paid by the vending machine operator of no less than $500; and</w:t>
      </w:r>
    </w:p>
    <w:p w:rsidR="00686BD0" w:rsidRPr="002E505A" w:rsidRDefault="00686BD0" w:rsidP="00D22AEB">
      <w:pPr>
        <w:numPr>
          <w:ilvl w:val="0"/>
          <w:numId w:val="7"/>
        </w:numPr>
        <w:spacing w:after="200"/>
        <w:rPr>
          <w:rFonts w:ascii="Arial" w:hAnsi="Arial" w:cs="Arial"/>
        </w:rPr>
      </w:pPr>
      <w:r w:rsidRPr="00686BD0">
        <w:rPr>
          <w:rFonts w:ascii="Arial" w:hAnsi="Arial" w:cs="Arial"/>
        </w:rPr>
        <w:t xml:space="preserve">“Habitual violations,” which means five or more violations within a six-month period, shall result in a six-month prohibition on the sale of beverages by the vending machine operator within </w:t>
      </w:r>
      <w:r w:rsidRPr="00686BD0">
        <w:rPr>
          <w:rFonts w:ascii="Arial" w:hAnsi="Arial" w:cs="Arial"/>
          <w:highlight w:val="yellow"/>
        </w:rPr>
        <w:t>(Name of agency)</w:t>
      </w:r>
      <w:r w:rsidRPr="00686BD0">
        <w:rPr>
          <w:rFonts w:ascii="Arial" w:hAnsi="Arial" w:cs="Arial"/>
        </w:rPr>
        <w:t xml:space="preserve"> and a fine of no less than $1,000. </w:t>
      </w:r>
    </w:p>
    <w:p w:rsidR="0014567F" w:rsidRPr="00D82D22" w:rsidRDefault="00D22AEB" w:rsidP="00607857">
      <w:pPr>
        <w:rPr>
          <w:rFonts w:ascii="Arial" w:hAnsi="Arial" w:cs="Arial"/>
        </w:rPr>
      </w:pPr>
      <w:proofErr w:type="gramStart"/>
      <w:r w:rsidRPr="00D82D22">
        <w:rPr>
          <w:rFonts w:ascii="Arial" w:hAnsi="Arial" w:cs="Arial"/>
        </w:rPr>
        <w:t>The person responsible for ensuring implementati</w:t>
      </w:r>
      <w:r w:rsidR="00EC177F">
        <w:rPr>
          <w:rFonts w:ascii="Arial" w:hAnsi="Arial" w:cs="Arial"/>
        </w:rPr>
        <w:t>on, monitoring, and enforcement</w:t>
      </w:r>
      <w:r w:rsidRPr="00D82D22">
        <w:rPr>
          <w:rFonts w:ascii="Arial" w:hAnsi="Arial" w:cs="Arial"/>
        </w:rPr>
        <w:t xml:space="preserve"> will report to </w:t>
      </w:r>
      <w:r w:rsidRPr="00D82D22">
        <w:rPr>
          <w:rFonts w:ascii="Arial" w:hAnsi="Arial" w:cs="Arial"/>
          <w:highlight w:val="yellow"/>
        </w:rPr>
        <w:t>(Name of agency)</w:t>
      </w:r>
      <w:r w:rsidRPr="00D82D22">
        <w:rPr>
          <w:rFonts w:ascii="Arial" w:hAnsi="Arial" w:cs="Arial"/>
        </w:rPr>
        <w:t xml:space="preserve"> leadership on the status of implementation ev</w:t>
      </w:r>
      <w:r w:rsidR="00430572">
        <w:rPr>
          <w:rFonts w:ascii="Arial" w:hAnsi="Arial" w:cs="Arial"/>
        </w:rPr>
        <w:t>ery other year beginning in 201</w:t>
      </w:r>
      <w:r w:rsidR="00430572" w:rsidRPr="00430572">
        <w:rPr>
          <w:rFonts w:ascii="Arial" w:hAnsi="Arial" w:cs="Arial"/>
          <w:highlight w:val="yellow"/>
        </w:rPr>
        <w:t>X</w:t>
      </w:r>
      <w:r w:rsidRPr="00D82D22">
        <w:rPr>
          <w:rFonts w:ascii="Arial" w:hAnsi="Arial" w:cs="Arial"/>
        </w:rPr>
        <w:t>.</w:t>
      </w:r>
      <w:proofErr w:type="gramEnd"/>
      <w:r w:rsidR="00A04C79">
        <w:rPr>
          <w:rFonts w:ascii="Arial" w:hAnsi="Arial" w:cs="Arial"/>
        </w:rPr>
        <w:t xml:space="preserve"> The report shall include: (1) a</w:t>
      </w:r>
      <w:r w:rsidRPr="00D82D22">
        <w:rPr>
          <w:rFonts w:ascii="Arial" w:hAnsi="Arial" w:cs="Arial"/>
        </w:rPr>
        <w:t xml:space="preserve">n assessment of beverage compliance; (2) successes, challenges and barriers experienced in implementation; (3) recommendations for improvement of compliance; and (4) recommendations for revising and updating the beverage standards to reflect advancement in nutrition science, dietary data, and new product availability. </w:t>
      </w:r>
    </w:p>
    <w:p w:rsidR="00BF036C" w:rsidRPr="006E293C" w:rsidRDefault="00BF036C" w:rsidP="00BF036C">
      <w:pPr>
        <w:ind w:left="1800"/>
        <w:jc w:val="right"/>
        <w:rPr>
          <w:rFonts w:ascii="Arial" w:hAnsi="Arial" w:cs="Arial"/>
          <w:i/>
          <w:sz w:val="20"/>
          <w:szCs w:val="20"/>
        </w:rPr>
      </w:pPr>
      <w:r w:rsidRPr="006E293C">
        <w:rPr>
          <w:rFonts w:ascii="Arial" w:hAnsi="Arial" w:cs="Arial"/>
          <w:i/>
          <w:sz w:val="20"/>
          <w:szCs w:val="20"/>
        </w:rPr>
        <w:t>Updated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E293C">
        <w:rPr>
          <w:rFonts w:ascii="Arial" w:hAnsi="Arial" w:cs="Arial"/>
          <w:i/>
          <w:sz w:val="20"/>
          <w:szCs w:val="20"/>
        </w:rPr>
        <w:t>July 18, 2013</w:t>
      </w:r>
    </w:p>
    <w:p w:rsidR="00474CAB" w:rsidRPr="00D82D22" w:rsidRDefault="00474CAB">
      <w:pPr>
        <w:rPr>
          <w:rFonts w:ascii="Arial" w:hAnsi="Arial" w:cs="Arial"/>
          <w:b/>
        </w:rPr>
      </w:pPr>
    </w:p>
    <w:sectPr w:rsidR="00474CAB" w:rsidRPr="00D82D22" w:rsidSect="00D64AE5">
      <w:headerReference w:type="default" r:id="rId9"/>
      <w:footerReference w:type="default" r:id="rId10"/>
      <w:pgSz w:w="12240" w:h="15840"/>
      <w:pgMar w:top="450" w:right="1080" w:bottom="1440" w:left="1170" w:header="4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33" w:rsidRDefault="00443133" w:rsidP="00183B87">
      <w:r>
        <w:separator/>
      </w:r>
    </w:p>
  </w:endnote>
  <w:endnote w:type="continuationSeparator" w:id="0">
    <w:p w:rsidR="00443133" w:rsidRDefault="00443133" w:rsidP="0018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0001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49B" w:rsidRDefault="00B56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6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49B" w:rsidRDefault="00B564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33" w:rsidRDefault="00443133" w:rsidP="00183B87">
      <w:r>
        <w:separator/>
      </w:r>
    </w:p>
  </w:footnote>
  <w:footnote w:type="continuationSeparator" w:id="0">
    <w:p w:rsidR="00443133" w:rsidRDefault="00443133" w:rsidP="00183B87">
      <w:r>
        <w:continuationSeparator/>
      </w:r>
    </w:p>
  </w:footnote>
  <w:footnote w:id="1">
    <w:p w:rsidR="00AB0C29" w:rsidRPr="00D64AE5" w:rsidRDefault="00AB0C29" w:rsidP="00AB0C29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64AE5">
        <w:rPr>
          <w:rFonts w:ascii="Arial" w:hAnsi="Arial" w:cs="Arial"/>
          <w:sz w:val="16"/>
          <w:szCs w:val="16"/>
        </w:rPr>
        <w:t>Institute of Medicine (IOM).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 2011. </w:t>
      </w:r>
      <w:r w:rsidRPr="00D64AE5">
        <w:rPr>
          <w:rFonts w:ascii="Arial" w:hAnsi="Arial" w:cs="Arial"/>
          <w:i/>
          <w:sz w:val="16"/>
          <w:szCs w:val="16"/>
        </w:rPr>
        <w:t>Early Childhood Obesity Prevention Policies.</w:t>
      </w:r>
      <w:r w:rsidRPr="00D64AE5">
        <w:rPr>
          <w:rFonts w:ascii="Arial" w:hAnsi="Arial" w:cs="Arial"/>
          <w:sz w:val="16"/>
          <w:szCs w:val="16"/>
        </w:rPr>
        <w:t xml:space="preserve"> Washington, DC: The National Academies Press.  </w:t>
      </w:r>
    </w:p>
  </w:footnote>
  <w:footnote w:id="2">
    <w:p w:rsidR="00AB0C29" w:rsidRPr="00D64AE5" w:rsidRDefault="00AB0C29" w:rsidP="00AB0C29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64AE5">
        <w:rPr>
          <w:rFonts w:ascii="Arial" w:hAnsi="Arial" w:cs="Arial"/>
          <w:sz w:val="16"/>
          <w:szCs w:val="16"/>
        </w:rPr>
        <w:t>Biro FM, Wien M. Childhood obesity and adult morbidities.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64AE5">
        <w:rPr>
          <w:rFonts w:ascii="Arial" w:hAnsi="Arial" w:cs="Arial"/>
          <w:i/>
          <w:sz w:val="16"/>
          <w:szCs w:val="16"/>
        </w:rPr>
        <w:t xml:space="preserve">Am J </w:t>
      </w:r>
      <w:proofErr w:type="spellStart"/>
      <w:r w:rsidRPr="00D64AE5">
        <w:rPr>
          <w:rFonts w:ascii="Arial" w:hAnsi="Arial" w:cs="Arial"/>
          <w:i/>
          <w:sz w:val="16"/>
          <w:szCs w:val="16"/>
        </w:rPr>
        <w:t>Clin</w:t>
      </w:r>
      <w:proofErr w:type="spellEnd"/>
      <w:r w:rsidRPr="00D64AE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D64AE5">
        <w:rPr>
          <w:rFonts w:ascii="Arial" w:hAnsi="Arial" w:cs="Arial"/>
          <w:i/>
          <w:sz w:val="16"/>
          <w:szCs w:val="16"/>
        </w:rPr>
        <w:t>Nutr</w:t>
      </w:r>
      <w:proofErr w:type="spellEnd"/>
      <w:r w:rsidRPr="00D64AE5">
        <w:rPr>
          <w:rFonts w:ascii="Arial" w:hAnsi="Arial" w:cs="Arial"/>
          <w:i/>
          <w:sz w:val="16"/>
          <w:szCs w:val="16"/>
        </w:rPr>
        <w:t>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May 2010; 91(5): 1499-1505.</w:t>
      </w:r>
    </w:p>
  </w:footnote>
  <w:footnote w:id="3">
    <w:p w:rsidR="00AB0C29" w:rsidRPr="00D64AE5" w:rsidRDefault="00AB0C29" w:rsidP="00AB0C29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D64AE5">
        <w:rPr>
          <w:rFonts w:ascii="Arial" w:hAnsi="Arial" w:cs="Arial"/>
          <w:sz w:val="16"/>
          <w:szCs w:val="16"/>
        </w:rPr>
        <w:t xml:space="preserve">Whitaker RC, Wright JA, </w:t>
      </w:r>
      <w:proofErr w:type="spellStart"/>
      <w:r w:rsidRPr="00D64AE5">
        <w:rPr>
          <w:rFonts w:ascii="Arial" w:hAnsi="Arial" w:cs="Arial"/>
          <w:sz w:val="16"/>
          <w:szCs w:val="16"/>
        </w:rPr>
        <w:t>Pepe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MS, </w:t>
      </w:r>
      <w:proofErr w:type="spellStart"/>
      <w:r w:rsidRPr="00D64AE5">
        <w:rPr>
          <w:rFonts w:ascii="Arial" w:hAnsi="Arial" w:cs="Arial"/>
          <w:sz w:val="16"/>
          <w:szCs w:val="16"/>
        </w:rPr>
        <w:t>Seidek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KD, Dietz WH.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 </w:t>
      </w:r>
      <w:proofErr w:type="gramStart"/>
      <w:r w:rsidRPr="00D64AE5">
        <w:rPr>
          <w:rFonts w:ascii="Arial" w:hAnsi="Arial" w:cs="Arial"/>
          <w:sz w:val="16"/>
          <w:szCs w:val="16"/>
        </w:rPr>
        <w:t>Predicting obesity in young adulthood from childhood and parental obesity.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N </w:t>
      </w:r>
      <w:proofErr w:type="spellStart"/>
      <w:r w:rsidRPr="00D64AE5">
        <w:rPr>
          <w:rFonts w:ascii="Arial" w:hAnsi="Arial" w:cs="Arial"/>
          <w:sz w:val="16"/>
          <w:szCs w:val="16"/>
        </w:rPr>
        <w:t>Engl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J Med 1997; 37(13): 869-873. </w:t>
      </w:r>
    </w:p>
  </w:footnote>
  <w:footnote w:id="4">
    <w:p w:rsidR="00AB0C29" w:rsidRPr="00D64AE5" w:rsidRDefault="00AB0C29" w:rsidP="00AB0C29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D64AE5">
        <w:rPr>
          <w:rFonts w:ascii="Arial" w:hAnsi="Arial" w:cs="Arial"/>
          <w:sz w:val="16"/>
          <w:szCs w:val="16"/>
        </w:rPr>
        <w:t>Serdula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MK, </w:t>
      </w:r>
      <w:proofErr w:type="spellStart"/>
      <w:r w:rsidRPr="00D64AE5">
        <w:rPr>
          <w:rFonts w:ascii="Arial" w:hAnsi="Arial" w:cs="Arial"/>
          <w:sz w:val="16"/>
          <w:szCs w:val="16"/>
        </w:rPr>
        <w:t>Ivery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D, Coates RJ, Freeman DS, Williamson DF, Byes T.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Do obese children become obese adults? </w:t>
      </w:r>
      <w:proofErr w:type="gramStart"/>
      <w:r w:rsidRPr="00D64AE5">
        <w:rPr>
          <w:rFonts w:ascii="Arial" w:hAnsi="Arial" w:cs="Arial"/>
          <w:sz w:val="16"/>
          <w:szCs w:val="16"/>
        </w:rPr>
        <w:t>A review of the literature.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4AE5">
        <w:rPr>
          <w:rFonts w:ascii="Arial" w:hAnsi="Arial" w:cs="Arial"/>
          <w:i/>
          <w:sz w:val="16"/>
          <w:szCs w:val="16"/>
        </w:rPr>
        <w:t>Prev</w:t>
      </w:r>
      <w:proofErr w:type="spellEnd"/>
      <w:r w:rsidRPr="00D64AE5">
        <w:rPr>
          <w:rFonts w:ascii="Arial" w:hAnsi="Arial" w:cs="Arial"/>
          <w:i/>
          <w:sz w:val="16"/>
          <w:szCs w:val="16"/>
        </w:rPr>
        <w:t xml:space="preserve"> Med </w:t>
      </w:r>
      <w:r w:rsidRPr="00D64AE5">
        <w:rPr>
          <w:rFonts w:ascii="Arial" w:hAnsi="Arial" w:cs="Arial"/>
          <w:sz w:val="16"/>
          <w:szCs w:val="16"/>
        </w:rPr>
        <w:t>1993; 22:167-177.</w:t>
      </w:r>
    </w:p>
  </w:footnote>
  <w:footnote w:id="5">
    <w:p w:rsidR="00AB0C29" w:rsidRPr="00D64AE5" w:rsidRDefault="00AB0C29" w:rsidP="008F22EC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64AE5">
        <w:rPr>
          <w:rFonts w:ascii="Arial" w:hAnsi="Arial" w:cs="Arial"/>
          <w:sz w:val="16"/>
          <w:szCs w:val="16"/>
        </w:rPr>
        <w:t>Popkin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BM. 2010. </w:t>
      </w:r>
      <w:proofErr w:type="gramStart"/>
      <w:r w:rsidRPr="00D64AE5">
        <w:rPr>
          <w:rFonts w:ascii="Arial" w:hAnsi="Arial" w:cs="Arial"/>
          <w:sz w:val="16"/>
          <w:szCs w:val="16"/>
        </w:rPr>
        <w:t>Patterns of beverage use across the lifecycle.</w:t>
      </w:r>
      <w:proofErr w:type="gramEnd"/>
      <w:r w:rsidRPr="00D64AE5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D64AE5">
        <w:rPr>
          <w:rFonts w:ascii="Arial" w:hAnsi="Arial" w:cs="Arial"/>
          <w:sz w:val="16"/>
          <w:szCs w:val="16"/>
        </w:rPr>
        <w:t>Phys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&amp; </w:t>
      </w:r>
      <w:proofErr w:type="spellStart"/>
      <w:r w:rsidRPr="00D64AE5">
        <w:rPr>
          <w:rFonts w:ascii="Arial" w:hAnsi="Arial" w:cs="Arial"/>
          <w:sz w:val="16"/>
          <w:szCs w:val="16"/>
        </w:rPr>
        <w:t>Behav</w:t>
      </w:r>
      <w:proofErr w:type="spellEnd"/>
      <w:r w:rsidRPr="00D64AE5">
        <w:rPr>
          <w:rFonts w:ascii="Arial" w:hAnsi="Arial" w:cs="Arial"/>
          <w:sz w:val="16"/>
          <w:szCs w:val="16"/>
        </w:rPr>
        <w:t xml:space="preserve"> 100:4-9.</w:t>
      </w:r>
    </w:p>
  </w:footnote>
  <w:footnote w:id="6">
    <w:p w:rsidR="008F22EC" w:rsidRPr="00D64AE5" w:rsidRDefault="00AB0C29" w:rsidP="008F22EC">
      <w:pPr>
        <w:pStyle w:val="EndnoteText"/>
        <w:rPr>
          <w:rFonts w:ascii="Arial" w:hAnsi="Arial" w:cs="Arial"/>
          <w:sz w:val="16"/>
          <w:szCs w:val="16"/>
        </w:rPr>
      </w:pPr>
      <w:r w:rsidRPr="00D64AE5">
        <w:rPr>
          <w:rStyle w:val="FootnoteReference"/>
          <w:rFonts w:ascii="Arial" w:hAnsi="Arial" w:cs="Arial"/>
          <w:sz w:val="16"/>
          <w:szCs w:val="16"/>
        </w:rPr>
        <w:footnoteRef/>
      </w:r>
      <w:r w:rsidRPr="00D64AE5">
        <w:rPr>
          <w:rFonts w:ascii="Arial" w:hAnsi="Arial" w:cs="Arial"/>
          <w:sz w:val="16"/>
          <w:szCs w:val="16"/>
        </w:rPr>
        <w:t xml:space="preserve"> </w:t>
      </w:r>
      <w:r w:rsidR="008F22EC" w:rsidRPr="00D64AE5">
        <w:rPr>
          <w:rFonts w:ascii="Arial" w:hAnsi="Arial" w:cs="Arial"/>
          <w:sz w:val="16"/>
          <w:szCs w:val="16"/>
        </w:rPr>
        <w:t xml:space="preserve">Hu FB, Malik VS. 2010. Sugar-sweetened beverages and risk of obesity and type 2 diabetes: Epidemiologic evidence. </w:t>
      </w:r>
      <w:proofErr w:type="spellStart"/>
      <w:r w:rsidR="008F22EC" w:rsidRPr="00D64AE5">
        <w:rPr>
          <w:rFonts w:ascii="Arial" w:hAnsi="Arial" w:cs="Arial"/>
          <w:sz w:val="16"/>
          <w:szCs w:val="16"/>
        </w:rPr>
        <w:t>Phys</w:t>
      </w:r>
      <w:proofErr w:type="spellEnd"/>
      <w:r w:rsidR="008F22EC" w:rsidRPr="00D64AE5">
        <w:rPr>
          <w:rFonts w:ascii="Arial" w:hAnsi="Arial" w:cs="Arial"/>
          <w:sz w:val="16"/>
          <w:szCs w:val="16"/>
        </w:rPr>
        <w:t xml:space="preserve"> &amp; </w:t>
      </w:r>
      <w:proofErr w:type="spellStart"/>
      <w:r w:rsidR="008F22EC" w:rsidRPr="00D64AE5">
        <w:rPr>
          <w:rFonts w:ascii="Arial" w:hAnsi="Arial" w:cs="Arial"/>
          <w:sz w:val="16"/>
          <w:szCs w:val="16"/>
        </w:rPr>
        <w:t>Behav</w:t>
      </w:r>
      <w:proofErr w:type="spellEnd"/>
      <w:r w:rsidR="008F22EC" w:rsidRPr="00D64AE5">
        <w:rPr>
          <w:rFonts w:ascii="Arial" w:hAnsi="Arial" w:cs="Arial"/>
          <w:sz w:val="16"/>
          <w:szCs w:val="16"/>
        </w:rPr>
        <w:t xml:space="preserve"> 100: 47-54. </w:t>
      </w:r>
    </w:p>
    <w:p w:rsidR="00AB0C29" w:rsidRDefault="00AB0C2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E5" w:rsidRDefault="00D64AE5" w:rsidP="000447F4">
    <w:pPr>
      <w:jc w:val="center"/>
      <w:rPr>
        <w:rFonts w:ascii="Arial" w:hAnsi="Arial" w:cs="Arial"/>
        <w:b/>
      </w:rPr>
    </w:pPr>
  </w:p>
  <w:p w:rsidR="000447F4" w:rsidRDefault="007F3DF9" w:rsidP="000447F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California Project LEAN’s</w:t>
    </w:r>
  </w:p>
  <w:p w:rsidR="000447F4" w:rsidRPr="00D82D22" w:rsidRDefault="000447F4" w:rsidP="000447F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100% </w:t>
    </w:r>
    <w:r w:rsidRPr="00D82D22">
      <w:rPr>
        <w:rFonts w:ascii="Arial" w:hAnsi="Arial" w:cs="Arial"/>
        <w:b/>
      </w:rPr>
      <w:t xml:space="preserve">Beverage Standards for </w:t>
    </w:r>
    <w:r>
      <w:rPr>
        <w:rFonts w:ascii="Arial" w:hAnsi="Arial" w:cs="Arial"/>
        <w:b/>
      </w:rPr>
      <w:t>Settings with</w:t>
    </w:r>
  </w:p>
  <w:p w:rsidR="000447F4" w:rsidRPr="00D82D22" w:rsidRDefault="0036260C" w:rsidP="000447F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Children 0-5 Y</w:t>
    </w:r>
    <w:r w:rsidR="000447F4" w:rsidRPr="00D82D22">
      <w:rPr>
        <w:rFonts w:ascii="Arial" w:hAnsi="Arial" w:cs="Arial"/>
        <w:b/>
      </w:rPr>
      <w:t>ears of Age</w:t>
    </w:r>
  </w:p>
  <w:p w:rsidR="000447F4" w:rsidRDefault="000447F4">
    <w:pPr>
      <w:pStyle w:val="Header"/>
    </w:pPr>
  </w:p>
  <w:p w:rsidR="000447F4" w:rsidRDefault="00044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75C"/>
    <w:multiLevelType w:val="hybridMultilevel"/>
    <w:tmpl w:val="8EDA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668F"/>
    <w:multiLevelType w:val="hybridMultilevel"/>
    <w:tmpl w:val="8406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DBE"/>
    <w:multiLevelType w:val="hybridMultilevel"/>
    <w:tmpl w:val="3864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495"/>
    <w:multiLevelType w:val="hybridMultilevel"/>
    <w:tmpl w:val="88D61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524D8"/>
    <w:multiLevelType w:val="hybridMultilevel"/>
    <w:tmpl w:val="81B6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25586"/>
    <w:multiLevelType w:val="hybridMultilevel"/>
    <w:tmpl w:val="809A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97E39"/>
    <w:multiLevelType w:val="hybridMultilevel"/>
    <w:tmpl w:val="282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A2"/>
    <w:rsid w:val="00004121"/>
    <w:rsid w:val="000113A2"/>
    <w:rsid w:val="000147E6"/>
    <w:rsid w:val="000447F4"/>
    <w:rsid w:val="000545CF"/>
    <w:rsid w:val="00062933"/>
    <w:rsid w:val="00076B14"/>
    <w:rsid w:val="000B5AF5"/>
    <w:rsid w:val="001042D5"/>
    <w:rsid w:val="0014567F"/>
    <w:rsid w:val="0018337F"/>
    <w:rsid w:val="00183B87"/>
    <w:rsid w:val="001C69BF"/>
    <w:rsid w:val="001D1B9F"/>
    <w:rsid w:val="00244D7E"/>
    <w:rsid w:val="002469B3"/>
    <w:rsid w:val="002A2272"/>
    <w:rsid w:val="002A6F8F"/>
    <w:rsid w:val="002D33F3"/>
    <w:rsid w:val="002E505A"/>
    <w:rsid w:val="00324CA2"/>
    <w:rsid w:val="0036260C"/>
    <w:rsid w:val="003E1DD0"/>
    <w:rsid w:val="003E4E89"/>
    <w:rsid w:val="00415D6E"/>
    <w:rsid w:val="00430572"/>
    <w:rsid w:val="004408B6"/>
    <w:rsid w:val="00441BB6"/>
    <w:rsid w:val="00443133"/>
    <w:rsid w:val="00474CAB"/>
    <w:rsid w:val="004B79D0"/>
    <w:rsid w:val="004D357D"/>
    <w:rsid w:val="004F4F87"/>
    <w:rsid w:val="00503363"/>
    <w:rsid w:val="005A150A"/>
    <w:rsid w:val="00607857"/>
    <w:rsid w:val="0065072A"/>
    <w:rsid w:val="006528F9"/>
    <w:rsid w:val="00686BD0"/>
    <w:rsid w:val="00753176"/>
    <w:rsid w:val="007B38D8"/>
    <w:rsid w:val="007F3DF9"/>
    <w:rsid w:val="008543E2"/>
    <w:rsid w:val="008706C1"/>
    <w:rsid w:val="008F22EC"/>
    <w:rsid w:val="00907608"/>
    <w:rsid w:val="009A4614"/>
    <w:rsid w:val="009F23DD"/>
    <w:rsid w:val="009F756B"/>
    <w:rsid w:val="00A04C79"/>
    <w:rsid w:val="00A26612"/>
    <w:rsid w:val="00A51A7D"/>
    <w:rsid w:val="00A811DB"/>
    <w:rsid w:val="00A812AE"/>
    <w:rsid w:val="00A92887"/>
    <w:rsid w:val="00AA3447"/>
    <w:rsid w:val="00AB0C29"/>
    <w:rsid w:val="00AD0A40"/>
    <w:rsid w:val="00AD72DE"/>
    <w:rsid w:val="00B0350D"/>
    <w:rsid w:val="00B5649B"/>
    <w:rsid w:val="00BF036C"/>
    <w:rsid w:val="00BF4AFB"/>
    <w:rsid w:val="00C94807"/>
    <w:rsid w:val="00CA7FE8"/>
    <w:rsid w:val="00CD457E"/>
    <w:rsid w:val="00D03E0E"/>
    <w:rsid w:val="00D22AEB"/>
    <w:rsid w:val="00D64AE5"/>
    <w:rsid w:val="00D82D22"/>
    <w:rsid w:val="00E551A3"/>
    <w:rsid w:val="00E56064"/>
    <w:rsid w:val="00E72EE6"/>
    <w:rsid w:val="00EA2AB5"/>
    <w:rsid w:val="00EC177F"/>
    <w:rsid w:val="00EF69F7"/>
    <w:rsid w:val="00F1471C"/>
    <w:rsid w:val="00F730D4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183B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83B87"/>
  </w:style>
  <w:style w:type="character" w:styleId="EndnoteReference">
    <w:name w:val="endnote reference"/>
    <w:basedOn w:val="DefaultParagraphFont"/>
    <w:rsid w:val="00183B87"/>
    <w:rPr>
      <w:vertAlign w:val="superscript"/>
    </w:rPr>
  </w:style>
  <w:style w:type="paragraph" w:styleId="FootnoteText">
    <w:name w:val="footnote text"/>
    <w:basedOn w:val="Normal"/>
    <w:link w:val="FootnoteTextChar"/>
    <w:rsid w:val="00183B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3B87"/>
  </w:style>
  <w:style w:type="character" w:styleId="FootnoteReference">
    <w:name w:val="footnote reference"/>
    <w:basedOn w:val="DefaultParagraphFont"/>
    <w:rsid w:val="00183B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4CAB"/>
    <w:pPr>
      <w:ind w:left="720"/>
      <w:contextualSpacing/>
    </w:pPr>
  </w:style>
  <w:style w:type="table" w:styleId="TableGrid">
    <w:name w:val="Table Grid"/>
    <w:basedOn w:val="TableNormal"/>
    <w:rsid w:val="003E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B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BB6"/>
    <w:rPr>
      <w:sz w:val="24"/>
      <w:szCs w:val="24"/>
    </w:rPr>
  </w:style>
  <w:style w:type="paragraph" w:styleId="BalloonText">
    <w:name w:val="Balloon Text"/>
    <w:basedOn w:val="Normal"/>
    <w:link w:val="BalloonTextChar"/>
    <w:rsid w:val="00607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183B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83B87"/>
  </w:style>
  <w:style w:type="character" w:styleId="EndnoteReference">
    <w:name w:val="endnote reference"/>
    <w:basedOn w:val="DefaultParagraphFont"/>
    <w:rsid w:val="00183B87"/>
    <w:rPr>
      <w:vertAlign w:val="superscript"/>
    </w:rPr>
  </w:style>
  <w:style w:type="paragraph" w:styleId="FootnoteText">
    <w:name w:val="footnote text"/>
    <w:basedOn w:val="Normal"/>
    <w:link w:val="FootnoteTextChar"/>
    <w:rsid w:val="00183B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83B87"/>
  </w:style>
  <w:style w:type="character" w:styleId="FootnoteReference">
    <w:name w:val="footnote reference"/>
    <w:basedOn w:val="DefaultParagraphFont"/>
    <w:rsid w:val="00183B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4CAB"/>
    <w:pPr>
      <w:ind w:left="720"/>
      <w:contextualSpacing/>
    </w:pPr>
  </w:style>
  <w:style w:type="table" w:styleId="TableGrid">
    <w:name w:val="Table Grid"/>
    <w:basedOn w:val="TableNormal"/>
    <w:rsid w:val="003E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1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BB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BB6"/>
    <w:rPr>
      <w:sz w:val="24"/>
      <w:szCs w:val="24"/>
    </w:rPr>
  </w:style>
  <w:style w:type="paragraph" w:styleId="BalloonText">
    <w:name w:val="Balloon Text"/>
    <w:basedOn w:val="Normal"/>
    <w:link w:val="BalloonTextChar"/>
    <w:rsid w:val="00607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07AD-197D-4B06-A61B-FDCBCF7F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Cowling, Linda (CDPH-CDIC)</dc:creator>
  <cp:lastModifiedBy>Hawksworth, Katherine (CDPH-PS-CDIC-CDCB)</cp:lastModifiedBy>
  <cp:revision>47</cp:revision>
  <cp:lastPrinted>2013-07-12T18:59:00Z</cp:lastPrinted>
  <dcterms:created xsi:type="dcterms:W3CDTF">2013-06-11T22:09:00Z</dcterms:created>
  <dcterms:modified xsi:type="dcterms:W3CDTF">2013-11-07T21:19:00Z</dcterms:modified>
</cp:coreProperties>
</file>